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FB3" w:rsidRPr="00473CCE" w:rsidRDefault="00EA6FB3" w:rsidP="00EA6FB3">
      <w:pPr>
        <w:widowControl w:val="0"/>
        <w:tabs>
          <w:tab w:val="left" w:pos="7740"/>
        </w:tabs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</w:rPr>
        <w:t>Afro-futurism: 1900 to 3009</w:t>
      </w:r>
      <w:r w:rsidRPr="00473CC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Fall 2024</w:t>
      </w:r>
      <w:r w:rsidRPr="00473CCE">
        <w:rPr>
          <w:rFonts w:ascii="Calibri" w:hAnsi="Calibri" w:cs="Calibri"/>
        </w:rPr>
        <w:tab/>
        <w:t xml:space="preserve">     </w:t>
      </w:r>
    </w:p>
    <w:tbl>
      <w:tblPr>
        <w:tblStyle w:val="TableGrid"/>
        <w:tblW w:w="978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7"/>
        <w:gridCol w:w="4794"/>
      </w:tblGrid>
      <w:tr w:rsidR="00EA6FB3" w:rsidRPr="00473CCE" w:rsidTr="00477A51">
        <w:tc>
          <w:tcPr>
            <w:tcW w:w="4987" w:type="dxa"/>
          </w:tcPr>
          <w:p w:rsidR="00EA6FB3" w:rsidRPr="00473CCE" w:rsidRDefault="00EA6FB3" w:rsidP="00477A51">
            <w:pPr>
              <w:widowControl w:val="0"/>
              <w:ind w:left="463"/>
              <w:rPr>
                <w:rFonts w:ascii="Calibri" w:hAnsi="Calibri" w:cs="Calibri"/>
              </w:rPr>
            </w:pPr>
            <w:r w:rsidRPr="00473CCE">
              <w:rPr>
                <w:rFonts w:ascii="Calibri" w:hAnsi="Calibri" w:cs="Calibri"/>
              </w:rPr>
              <w:t xml:space="preserve">Professor Jennifer </w:t>
            </w:r>
            <w:proofErr w:type="spellStart"/>
            <w:r w:rsidRPr="00473CCE">
              <w:rPr>
                <w:rFonts w:ascii="Calibri" w:hAnsi="Calibri" w:cs="Calibri"/>
              </w:rPr>
              <w:t>Bajorek</w:t>
            </w:r>
            <w:proofErr w:type="spellEnd"/>
          </w:p>
        </w:tc>
        <w:tc>
          <w:tcPr>
            <w:tcW w:w="4794" w:type="dxa"/>
          </w:tcPr>
          <w:p w:rsidR="00EA6FB3" w:rsidRPr="00473CCE" w:rsidRDefault="00EA6FB3" w:rsidP="00477A51">
            <w:pPr>
              <w:widowControl w:val="0"/>
              <w:tabs>
                <w:tab w:val="left" w:pos="2950"/>
                <w:tab w:val="left" w:pos="3040"/>
              </w:tabs>
              <w:ind w:right="45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Wed 9 am – 11:50 am</w:t>
            </w:r>
          </w:p>
        </w:tc>
      </w:tr>
      <w:tr w:rsidR="00EA6FB3" w:rsidRPr="00473CCE" w:rsidTr="00477A51">
        <w:tc>
          <w:tcPr>
            <w:tcW w:w="4987" w:type="dxa"/>
          </w:tcPr>
          <w:p w:rsidR="00EA6FB3" w:rsidRPr="00473CCE" w:rsidRDefault="00EA6FB3" w:rsidP="00477A51">
            <w:pPr>
              <w:widowControl w:val="0"/>
              <w:ind w:left="463"/>
              <w:rPr>
                <w:rFonts w:ascii="Calibri" w:hAnsi="Calibri" w:cs="Calibri"/>
              </w:rPr>
            </w:pPr>
            <w:hyperlink r:id="rId7" w:history="1">
              <w:r w:rsidRPr="00473CCE">
                <w:rPr>
                  <w:rStyle w:val="Hyperlink"/>
                  <w:rFonts w:ascii="Calibri" w:hAnsi="Calibri" w:cs="Calibri"/>
                </w:rPr>
                <w:t>jbajorek@hampshire.edu</w:t>
              </w:r>
            </w:hyperlink>
          </w:p>
        </w:tc>
        <w:tc>
          <w:tcPr>
            <w:tcW w:w="4794" w:type="dxa"/>
          </w:tcPr>
          <w:p w:rsidR="00EA6FB3" w:rsidRPr="00473CCE" w:rsidRDefault="00EA6FB3" w:rsidP="00477A51">
            <w:pPr>
              <w:widowControl w:val="0"/>
              <w:ind w:right="450"/>
              <w:jc w:val="right"/>
              <w:rPr>
                <w:rFonts w:ascii="Calibri" w:hAnsi="Calibri" w:cs="Calibri"/>
              </w:rPr>
            </w:pPr>
          </w:p>
        </w:tc>
      </w:tr>
    </w:tbl>
    <w:p w:rsidR="00EA6FB3" w:rsidRPr="00473CCE" w:rsidRDefault="00EA6FB3" w:rsidP="00EA6FB3">
      <w:pPr>
        <w:rPr>
          <w:rFonts w:ascii="Calibri" w:hAnsi="Calibri" w:cs="Calibri"/>
          <w:b/>
          <w:bCs/>
        </w:rPr>
      </w:pPr>
    </w:p>
    <w:p w:rsidR="00EA6FB3" w:rsidRPr="00473CCE" w:rsidRDefault="00EA6FB3" w:rsidP="00EA6FB3">
      <w:pPr>
        <w:jc w:val="center"/>
        <w:rPr>
          <w:rFonts w:ascii="Calibri" w:hAnsi="Calibri" w:cs="Calibri"/>
          <w:b/>
          <w:bCs/>
        </w:rPr>
      </w:pPr>
      <w:r w:rsidRPr="00473CCE">
        <w:rPr>
          <w:rFonts w:ascii="Calibri" w:hAnsi="Calibri" w:cs="Calibri"/>
          <w:b/>
          <w:bCs/>
        </w:rPr>
        <w:t>READING AND LOOKING QUESTIONS</w:t>
      </w:r>
    </w:p>
    <w:p w:rsidR="00EA6FB3" w:rsidRPr="00473CCE" w:rsidRDefault="00EA6FB3" w:rsidP="00EA6FB3">
      <w:pPr>
        <w:rPr>
          <w:rFonts w:ascii="Calibri" w:hAnsi="Calibri" w:cs="Calibri"/>
        </w:rPr>
      </w:pPr>
    </w:p>
    <w:p w:rsidR="00EA6FB3" w:rsidRPr="00473CCE" w:rsidRDefault="00EA6FB3" w:rsidP="00EA6FB3">
      <w:pPr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Bodys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Isek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Kingelez</w:t>
      </w:r>
      <w:proofErr w:type="spellEnd"/>
      <w:r>
        <w:rPr>
          <w:rFonts w:ascii="Calibri" w:hAnsi="Calibri" w:cs="Calibri"/>
          <w:b/>
          <w:bCs/>
        </w:rPr>
        <w:t>, Selected works (“extreme maquettes”) (1980</w:t>
      </w:r>
      <w:r w:rsidR="00BB22B6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>2015)</w:t>
      </w:r>
    </w:p>
    <w:p w:rsidR="00EA6FB3" w:rsidRDefault="00EA6FB3" w:rsidP="00EA6FB3">
      <w:pPr>
        <w:rPr>
          <w:rFonts w:ascii="Calibri" w:hAnsi="Calibri" w:cs="Calibri"/>
        </w:rPr>
      </w:pPr>
    </w:p>
    <w:p w:rsidR="00EA6FB3" w:rsidRPr="001A488C" w:rsidRDefault="00EA6FB3" w:rsidP="00EA6FB3">
      <w:pPr>
        <w:rPr>
          <w:rFonts w:ascii="Calibri" w:hAnsi="Calibri" w:cs="Calibri"/>
          <w:i/>
          <w:iCs/>
        </w:rPr>
      </w:pPr>
      <w:r w:rsidRPr="001A488C">
        <w:rPr>
          <w:rFonts w:ascii="Calibri" w:hAnsi="Calibri" w:cs="Calibri"/>
          <w:i/>
          <w:iCs/>
        </w:rPr>
        <w:t>Getting started…</w:t>
      </w:r>
    </w:p>
    <w:p w:rsidR="00EA6FB3" w:rsidRDefault="00EA6FB3" w:rsidP="00EA6FB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Spend as much time as you need to look closely at </w:t>
      </w:r>
      <w:r>
        <w:rPr>
          <w:rFonts w:ascii="Calibri" w:hAnsi="Calibri" w:cs="Calibri"/>
        </w:rPr>
        <w:t xml:space="preserve">the installation photographs of </w:t>
      </w:r>
      <w:proofErr w:type="spellStart"/>
      <w:r>
        <w:rPr>
          <w:rFonts w:ascii="Calibri" w:hAnsi="Calibri" w:cs="Calibri"/>
        </w:rPr>
        <w:t>Kingelez’s</w:t>
      </w:r>
      <w:proofErr w:type="spellEnd"/>
      <w:r>
        <w:rPr>
          <w:rFonts w:ascii="Calibri" w:hAnsi="Calibri" w:cs="Calibri"/>
        </w:rPr>
        <w:t xml:space="preserve"> work in both the 1995 and 2018-19 exhibitions (in Paris and in New York, respectively)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These are two major solo exhibitions, one at an earlier point in his career and one after his death (in 2015). </w:t>
      </w:r>
      <w:r>
        <w:rPr>
          <w:rFonts w:ascii="Calibri" w:hAnsi="Calibri" w:cs="Calibri"/>
        </w:rPr>
        <w:t>Write down some questions that arise for you as you engage with this material for the first time. Be prepared to share 1-2 of these questions in class.</w:t>
      </w:r>
    </w:p>
    <w:p w:rsidR="00BB22B6" w:rsidRDefault="00BB22B6" w:rsidP="00BB22B6">
      <w:pPr>
        <w:pStyle w:val="ListParagraph"/>
        <w:rPr>
          <w:rFonts w:ascii="Calibri" w:hAnsi="Calibri" w:cs="Calibri"/>
        </w:rPr>
      </w:pPr>
    </w:p>
    <w:p w:rsidR="00007709" w:rsidRDefault="00EA6FB3" w:rsidP="0000770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do you feel or think </w:t>
      </w:r>
      <w:r w:rsidR="00BB22B6">
        <w:rPr>
          <w:rFonts w:ascii="Calibri" w:hAnsi="Calibri" w:cs="Calibri"/>
        </w:rPr>
        <w:t xml:space="preserve">about </w:t>
      </w:r>
      <w:r>
        <w:rPr>
          <w:rFonts w:ascii="Calibri" w:hAnsi="Calibri" w:cs="Calibri"/>
        </w:rPr>
        <w:t>when you see these “maquettes” (the French word for “model,” which is also sometimes used in English</w:t>
      </w:r>
      <w:r w:rsidR="00BB22B6">
        <w:rPr>
          <w:rFonts w:ascii="Calibri" w:hAnsi="Calibri" w:cs="Calibri"/>
        </w:rPr>
        <w:t xml:space="preserve"> to refer to an architectural model</w:t>
      </w:r>
      <w:r>
        <w:rPr>
          <w:rFonts w:ascii="Calibri" w:hAnsi="Calibri" w:cs="Calibri"/>
        </w:rPr>
        <w:t xml:space="preserve">)? </w:t>
      </w:r>
      <w:r w:rsidRPr="00007709">
        <w:rPr>
          <w:rFonts w:ascii="Calibri" w:hAnsi="Calibri" w:cs="Calibri"/>
        </w:rPr>
        <w:t xml:space="preserve">What is interesting or potentially interesting, to you, about the fact that </w:t>
      </w:r>
      <w:proofErr w:type="spellStart"/>
      <w:r w:rsidRPr="00007709">
        <w:rPr>
          <w:rFonts w:ascii="Calibri" w:hAnsi="Calibri" w:cs="Calibri"/>
        </w:rPr>
        <w:t>Kingelez’s</w:t>
      </w:r>
      <w:proofErr w:type="spellEnd"/>
      <w:r w:rsidRPr="00007709">
        <w:rPr>
          <w:rFonts w:ascii="Calibri" w:hAnsi="Calibri" w:cs="Calibri"/>
        </w:rPr>
        <w:t xml:space="preserve"> sculptures are presented as models?</w:t>
      </w:r>
      <w:r w:rsidR="00007709">
        <w:rPr>
          <w:rFonts w:ascii="Calibri" w:hAnsi="Calibri" w:cs="Calibri"/>
        </w:rPr>
        <w:t xml:space="preserve"> </w:t>
      </w:r>
      <w:r w:rsidR="00007709" w:rsidRPr="00007709">
        <w:rPr>
          <w:rFonts w:ascii="Calibri" w:hAnsi="Calibri" w:cs="Calibri"/>
        </w:rPr>
        <w:t>Do you believe, when you look at them, that they will ever be built?</w:t>
      </w:r>
    </w:p>
    <w:p w:rsidR="00007709" w:rsidRPr="00007709" w:rsidRDefault="00007709" w:rsidP="00007709">
      <w:pPr>
        <w:pStyle w:val="ListParagraph"/>
        <w:rPr>
          <w:rFonts w:ascii="Calibri" w:hAnsi="Calibri" w:cs="Calibri"/>
        </w:rPr>
      </w:pPr>
    </w:p>
    <w:p w:rsidR="00EA6FB3" w:rsidRPr="00007709" w:rsidRDefault="00007709" w:rsidP="0000770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 art historian Chika Okeke-</w:t>
      </w:r>
      <w:proofErr w:type="spellStart"/>
      <w:r>
        <w:rPr>
          <w:rFonts w:ascii="Calibri" w:hAnsi="Calibri" w:cs="Calibri"/>
        </w:rPr>
        <w:t>Agulu</w:t>
      </w:r>
      <w:proofErr w:type="spellEnd"/>
      <w:r>
        <w:rPr>
          <w:rFonts w:ascii="Calibri" w:hAnsi="Calibri" w:cs="Calibri"/>
        </w:rPr>
        <w:t xml:space="preserve"> describes </w:t>
      </w:r>
      <w:proofErr w:type="spellStart"/>
      <w:r>
        <w:rPr>
          <w:rFonts w:ascii="Calibri" w:hAnsi="Calibri" w:cs="Calibri"/>
        </w:rPr>
        <w:t>Kingelez’s</w:t>
      </w:r>
      <w:proofErr w:type="spellEnd"/>
      <w:r>
        <w:rPr>
          <w:rFonts w:ascii="Calibri" w:hAnsi="Calibri" w:cs="Calibri"/>
        </w:rPr>
        <w:t xml:space="preserve"> maquettes as “objects that are in excess of what is possible.” </w:t>
      </w:r>
      <w:r w:rsidR="00EA6FB3" w:rsidRPr="00007709">
        <w:rPr>
          <w:rFonts w:ascii="Calibri" w:hAnsi="Calibri" w:cs="Calibri"/>
        </w:rPr>
        <w:t xml:space="preserve">What is the point of </w:t>
      </w:r>
      <w:r>
        <w:rPr>
          <w:rFonts w:ascii="Calibri" w:hAnsi="Calibri" w:cs="Calibri"/>
        </w:rPr>
        <w:t>such an object, in your view?</w:t>
      </w:r>
    </w:p>
    <w:p w:rsidR="00BB22B6" w:rsidRPr="00BB22B6" w:rsidRDefault="00BB22B6" w:rsidP="00BB22B6">
      <w:pPr>
        <w:rPr>
          <w:rFonts w:ascii="Calibri" w:hAnsi="Calibri" w:cs="Calibri"/>
        </w:rPr>
      </w:pPr>
    </w:p>
    <w:p w:rsidR="00257A59" w:rsidRDefault="00EA6FB3" w:rsidP="00257A5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07709">
        <w:rPr>
          <w:rFonts w:ascii="Calibri" w:hAnsi="Calibri" w:cs="Calibri"/>
        </w:rPr>
        <w:t xml:space="preserve">What is interesting or potentially interesting, to you, about the fact that </w:t>
      </w:r>
      <w:proofErr w:type="spellStart"/>
      <w:r w:rsidRPr="00007709">
        <w:rPr>
          <w:rFonts w:ascii="Calibri" w:hAnsi="Calibri" w:cs="Calibri"/>
        </w:rPr>
        <w:t>Kingelez’s</w:t>
      </w:r>
      <w:proofErr w:type="spellEnd"/>
      <w:r w:rsidRPr="00007709">
        <w:rPr>
          <w:rFonts w:ascii="Calibri" w:hAnsi="Calibri" w:cs="Calibri"/>
        </w:rPr>
        <w:t xml:space="preserve"> sculptures are </w:t>
      </w:r>
      <w:r w:rsidRPr="00007709">
        <w:rPr>
          <w:rFonts w:ascii="Calibri" w:hAnsi="Calibri" w:cs="Calibri"/>
        </w:rPr>
        <w:t xml:space="preserve">made </w:t>
      </w:r>
      <w:r w:rsidR="00BB22B6" w:rsidRPr="00007709">
        <w:rPr>
          <w:rFonts w:ascii="Calibri" w:hAnsi="Calibri" w:cs="Calibri"/>
        </w:rPr>
        <w:t>mostly</w:t>
      </w:r>
      <w:r w:rsidRPr="00007709">
        <w:rPr>
          <w:rFonts w:ascii="Calibri" w:hAnsi="Calibri" w:cs="Calibri"/>
        </w:rPr>
        <w:t xml:space="preserve"> out of recycled materials</w:t>
      </w:r>
      <w:r w:rsidRPr="00007709">
        <w:rPr>
          <w:rFonts w:ascii="Calibri" w:hAnsi="Calibri" w:cs="Calibri"/>
        </w:rPr>
        <w:t xml:space="preserve">? </w:t>
      </w:r>
      <w:r w:rsidR="00BB22B6" w:rsidRPr="00007709">
        <w:rPr>
          <w:rFonts w:ascii="Calibri" w:hAnsi="Calibri" w:cs="Calibri"/>
        </w:rPr>
        <w:t>…r</w:t>
      </w:r>
      <w:r w:rsidRPr="00007709">
        <w:rPr>
          <w:rFonts w:ascii="Calibri" w:hAnsi="Calibri" w:cs="Calibri"/>
        </w:rPr>
        <w:t xml:space="preserve">ecycled food packaging, cans, cartons, carved up pieces of cardboard tubes and boxes, scraps of colored paper... </w:t>
      </w:r>
      <w:r w:rsidR="00BB22B6" w:rsidRPr="00007709">
        <w:rPr>
          <w:rFonts w:ascii="Calibri" w:hAnsi="Calibri" w:cs="Calibri"/>
        </w:rPr>
        <w:t xml:space="preserve">How does the nature of the materials the artist uses impact your impression, or interpretation, of the work? </w:t>
      </w:r>
    </w:p>
    <w:p w:rsidR="00007709" w:rsidRPr="00007709" w:rsidRDefault="00007709" w:rsidP="00007709">
      <w:pPr>
        <w:rPr>
          <w:rFonts w:ascii="Calibri" w:hAnsi="Calibri" w:cs="Calibri"/>
        </w:rPr>
      </w:pPr>
    </w:p>
    <w:p w:rsidR="00257A59" w:rsidRPr="00257A59" w:rsidRDefault="00257A59" w:rsidP="00257A5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57A59">
        <w:rPr>
          <w:rFonts w:ascii="Calibri" w:hAnsi="Calibri" w:cs="Calibri"/>
        </w:rPr>
        <w:t xml:space="preserve">Scholars and critics have been fascinated by the array of architectural styles, movements, and structures that are referenced by </w:t>
      </w:r>
      <w:proofErr w:type="spellStart"/>
      <w:r w:rsidRPr="00257A59">
        <w:rPr>
          <w:rFonts w:ascii="Calibri" w:hAnsi="Calibri" w:cs="Calibri"/>
        </w:rPr>
        <w:t>Kingelez’s</w:t>
      </w:r>
      <w:proofErr w:type="spellEnd"/>
      <w:r w:rsidRPr="00257A59">
        <w:rPr>
          <w:rFonts w:ascii="Calibri" w:hAnsi="Calibri" w:cs="Calibri"/>
        </w:rPr>
        <w:t xml:space="preserve"> work</w:t>
      </w:r>
      <w:r w:rsidR="00007709">
        <w:rPr>
          <w:rFonts w:ascii="Calibri" w:hAnsi="Calibri" w:cs="Calibri"/>
        </w:rPr>
        <w:t xml:space="preserve">: from </w:t>
      </w:r>
      <w:r w:rsidRPr="00257A59">
        <w:rPr>
          <w:rFonts w:ascii="Calibri" w:hAnsi="Calibri" w:cs="Calibri"/>
        </w:rPr>
        <w:t xml:space="preserve">Las Vegas casinos </w:t>
      </w:r>
      <w:r w:rsidR="00007709">
        <w:rPr>
          <w:rFonts w:ascii="Calibri" w:hAnsi="Calibri" w:cs="Calibri"/>
        </w:rPr>
        <w:t>to</w:t>
      </w:r>
      <w:r w:rsidRPr="00257A59">
        <w:rPr>
          <w:rFonts w:ascii="Calibri" w:hAnsi="Calibri" w:cs="Calibri"/>
        </w:rPr>
        <w:t xml:space="preserve"> Chinese </w:t>
      </w:r>
      <w:r w:rsidR="00007709">
        <w:rPr>
          <w:rFonts w:ascii="Calibri" w:hAnsi="Calibri" w:cs="Calibri"/>
        </w:rPr>
        <w:t>p</w:t>
      </w:r>
      <w:r w:rsidRPr="00257A59">
        <w:rPr>
          <w:rFonts w:ascii="Calibri" w:hAnsi="Calibri" w:cs="Calibri"/>
        </w:rPr>
        <w:t xml:space="preserve">agodas. </w:t>
      </w:r>
      <w:r w:rsidR="00007709">
        <w:rPr>
          <w:rFonts w:ascii="Calibri" w:hAnsi="Calibri" w:cs="Calibri"/>
        </w:rPr>
        <w:t>O</w:t>
      </w:r>
      <w:r w:rsidRPr="00257A59">
        <w:rPr>
          <w:rFonts w:ascii="Calibri" w:hAnsi="Calibri" w:cs="Calibri"/>
        </w:rPr>
        <w:t xml:space="preserve">thers </w:t>
      </w:r>
      <w:r>
        <w:rPr>
          <w:rFonts w:ascii="Calibri" w:hAnsi="Calibri" w:cs="Calibri"/>
        </w:rPr>
        <w:t xml:space="preserve">note </w:t>
      </w:r>
      <w:r w:rsidRPr="00257A59">
        <w:rPr>
          <w:rFonts w:ascii="Calibri" w:hAnsi="Calibri" w:cs="Calibri"/>
        </w:rPr>
        <w:t xml:space="preserve">that his structures and cities are situated in, or designed for, </w:t>
      </w:r>
      <w:r>
        <w:rPr>
          <w:rFonts w:ascii="Calibri" w:hAnsi="Calibri" w:cs="Calibri"/>
        </w:rPr>
        <w:t xml:space="preserve">cities </w:t>
      </w:r>
      <w:r w:rsidRPr="00257A59">
        <w:rPr>
          <w:rFonts w:ascii="Calibri" w:hAnsi="Calibri" w:cs="Calibri"/>
        </w:rPr>
        <w:t xml:space="preserve">all over the world: </w:t>
      </w:r>
      <w:r w:rsidRPr="00257A59">
        <w:rPr>
          <w:rFonts w:ascii="Calibri" w:hAnsi="Calibri" w:cs="Calibri"/>
          <w14:ligatures w14:val="standardContextual"/>
        </w:rPr>
        <w:t>Japan, France, Australia, Holland, Korea, the</w:t>
      </w:r>
      <w:r w:rsidRPr="00257A59">
        <w:rPr>
          <w:rFonts w:ascii="Calibri" w:hAnsi="Calibri" w:cs="Calibri"/>
          <w14:ligatures w14:val="standardContextual"/>
        </w:rPr>
        <w:t xml:space="preserve"> </w:t>
      </w:r>
      <w:r w:rsidRPr="00257A59">
        <w:rPr>
          <w:rFonts w:ascii="Calibri" w:hAnsi="Calibri" w:cs="Calibri"/>
          <w14:ligatures w14:val="standardContextual"/>
        </w:rPr>
        <w:t>USA, Spain, Palestine, Canada, the USSR, and Germany</w:t>
      </w:r>
      <w:r w:rsidRPr="00257A59">
        <w:rPr>
          <w:rFonts w:ascii="Calibri" w:hAnsi="Calibri" w:cs="Calibri"/>
          <w14:ligatures w14:val="standardContextual"/>
        </w:rPr>
        <w:t xml:space="preserve"> all appear in his geography.</w:t>
      </w:r>
      <w:r>
        <w:rPr>
          <w:rFonts w:ascii="Calibri" w:hAnsi="Calibri" w:cs="Calibri"/>
          <w14:ligatures w14:val="standardContextual"/>
        </w:rPr>
        <w:t xml:space="preserve"> Why does this seem so surprising or interesting to scholars/critics? </w:t>
      </w:r>
      <w:r w:rsidR="00007709">
        <w:rPr>
          <w:rFonts w:ascii="Calibri" w:hAnsi="Calibri" w:cs="Calibri"/>
          <w14:ligatures w14:val="standardContextual"/>
        </w:rPr>
        <w:t>Is it possible that their</w:t>
      </w:r>
      <w:r>
        <w:rPr>
          <w:rFonts w:ascii="Calibri" w:hAnsi="Calibri" w:cs="Calibri"/>
          <w14:ligatures w14:val="standardContextual"/>
        </w:rPr>
        <w:t xml:space="preserve"> interest</w:t>
      </w:r>
      <w:r w:rsidR="00007709">
        <w:rPr>
          <w:rFonts w:ascii="Calibri" w:hAnsi="Calibri" w:cs="Calibri"/>
          <w14:ligatures w14:val="standardContextual"/>
        </w:rPr>
        <w:t>/surprise</w:t>
      </w:r>
      <w:r>
        <w:rPr>
          <w:rFonts w:ascii="Calibri" w:hAnsi="Calibri" w:cs="Calibri"/>
          <w14:ligatures w14:val="standardContextual"/>
        </w:rPr>
        <w:t xml:space="preserve"> in this diversity of references is biased, Eurocentric, or even racist?</w:t>
      </w:r>
    </w:p>
    <w:p w:rsidR="00257A59" w:rsidRPr="00257A59" w:rsidRDefault="00257A59" w:rsidP="00257A59">
      <w:pPr>
        <w:pStyle w:val="ListParagraph"/>
        <w:rPr>
          <w:rFonts w:ascii="Calibri" w:hAnsi="Calibri" w:cs="Calibri"/>
        </w:rPr>
      </w:pPr>
    </w:p>
    <w:p w:rsidR="00D92DA1" w:rsidRDefault="00257A59">
      <w:r>
        <w:t>Go the extra mile and know something about the artist and the context in which he is working…</w:t>
      </w:r>
    </w:p>
    <w:p w:rsidR="00257A59" w:rsidRDefault="00257A59"/>
    <w:p w:rsidR="004224C3" w:rsidRDefault="00257A59">
      <w:r>
        <w:t xml:space="preserve">There are “two </w:t>
      </w:r>
      <w:proofErr w:type="spellStart"/>
      <w:r>
        <w:t>Congos</w:t>
      </w:r>
      <w:proofErr w:type="spellEnd"/>
      <w:r>
        <w:t xml:space="preserve">.” One is, today, sometimes called “Congo-Brazzaville” and the other is called “Congo-Kinshasa” or the </w:t>
      </w:r>
      <w:proofErr w:type="spellStart"/>
      <w:r>
        <w:t>Democractic</w:t>
      </w:r>
      <w:proofErr w:type="spellEnd"/>
      <w:r>
        <w:t xml:space="preserve"> Republic of (the) Congo (DRC).</w:t>
      </w:r>
    </w:p>
    <w:p w:rsidR="004224C3" w:rsidRDefault="004224C3">
      <w:r>
        <w:t>--</w:t>
      </w:r>
      <w:r w:rsidR="00257A59">
        <w:t>Which one was formerly colonized by the French</w:t>
      </w:r>
      <w:r>
        <w:t>?</w:t>
      </w:r>
    </w:p>
    <w:p w:rsidR="00257A59" w:rsidRDefault="004224C3">
      <w:r>
        <w:lastRenderedPageBreak/>
        <w:t>--W</w:t>
      </w:r>
      <w:r w:rsidR="00257A59">
        <w:t>hich one was formerly colonized by the Belgians?</w:t>
      </w:r>
    </w:p>
    <w:p w:rsidR="00257A59" w:rsidRDefault="00257A59">
      <w:r>
        <w:t xml:space="preserve">--Which </w:t>
      </w:r>
      <w:r w:rsidR="00F75E1F">
        <w:t>one</w:t>
      </w:r>
      <w:r>
        <w:t xml:space="preserve"> is </w:t>
      </w:r>
      <w:proofErr w:type="spellStart"/>
      <w:r>
        <w:t>Kingelez</w:t>
      </w:r>
      <w:proofErr w:type="spellEnd"/>
      <w:r>
        <w:t xml:space="preserve"> from?</w:t>
      </w:r>
    </w:p>
    <w:p w:rsidR="004224C3" w:rsidRDefault="004224C3"/>
    <w:p w:rsidR="00257A59" w:rsidRDefault="00257A59">
      <w:r>
        <w:t>--Who was King Leopold</w:t>
      </w:r>
      <w:r w:rsidR="00F75E1F">
        <w:t xml:space="preserve"> II</w:t>
      </w:r>
      <w:r>
        <w:t xml:space="preserve"> and what was his relationship to the Congo that is today called Congo-Kinshasa?</w:t>
      </w:r>
      <w:r w:rsidR="00F75E1F">
        <w:t xml:space="preserve"> Is Leopold remembered as a kind and generous person? If not, how would you characterize his legacy?</w:t>
      </w:r>
    </w:p>
    <w:p w:rsidR="004224C3" w:rsidRDefault="004224C3">
      <w:r>
        <w:t>--What other names has Congo-Kinshasa had, prior to its current name (one name is closely associated with King Leopold II, another is closely associated with Mobutu)?</w:t>
      </w:r>
    </w:p>
    <w:p w:rsidR="00257A59" w:rsidRDefault="00257A59">
      <w:r>
        <w:t>--</w:t>
      </w:r>
      <w:r w:rsidR="00F75E1F">
        <w:t>What was the main export of Congo in the colonial period?</w:t>
      </w:r>
    </w:p>
    <w:p w:rsidR="004224C3" w:rsidRDefault="004224C3"/>
    <w:p w:rsidR="004224C3" w:rsidRDefault="004224C3">
      <w:r>
        <w:t>--Who was Patrice Lumumba?</w:t>
      </w:r>
    </w:p>
    <w:p w:rsidR="004224C3" w:rsidRDefault="004224C3">
      <w:r>
        <w:t>--How did Lumumba die?</w:t>
      </w:r>
    </w:p>
    <w:p w:rsidR="00F75E1F" w:rsidRDefault="00F75E1F">
      <w:r>
        <w:t>--Who was Mobutu Sese Seko?</w:t>
      </w:r>
    </w:p>
    <w:p w:rsidR="004224C3" w:rsidRDefault="004224C3"/>
    <w:p w:rsidR="004224C3" w:rsidRDefault="004224C3">
      <w:r>
        <w:t xml:space="preserve">--What mineral indispensable to the chips in your cell phone and laptop almost certainly came from mines </w:t>
      </w:r>
      <w:r w:rsidR="00C85B20">
        <w:t>that rely</w:t>
      </w:r>
      <w:r>
        <w:t xml:space="preserve"> on forced </w:t>
      </w:r>
      <w:r w:rsidR="00C85B20">
        <w:t>labor, child labor, and contemporary slavery</w:t>
      </w:r>
      <w:r>
        <w:t xml:space="preserve"> in the DRC?</w:t>
      </w:r>
    </w:p>
    <w:p w:rsidR="004224C3" w:rsidRDefault="004224C3"/>
    <w:p w:rsidR="004224C3" w:rsidRDefault="004224C3">
      <w:r>
        <w:t xml:space="preserve">To learn more about </w:t>
      </w:r>
      <w:r w:rsidR="00C85B20">
        <w:t>mining in the DRC, and how all of our high-end consumer electronics (especially phones and laptops) are fueling armed conflict, f</w:t>
      </w:r>
      <w:r w:rsidR="005962B1">
        <w:t xml:space="preserve">unding </w:t>
      </w:r>
      <w:r w:rsidR="00C85B20">
        <w:t xml:space="preserve">paramilitary groups, and incentivizing </w:t>
      </w:r>
      <w:r w:rsidR="005962B1">
        <w:t>mining/</w:t>
      </w:r>
      <w:r w:rsidR="00C85B20">
        <w:t xml:space="preserve">resource extraction </w:t>
      </w:r>
      <w:r w:rsidR="005962B1">
        <w:t>that relies</w:t>
      </w:r>
      <w:r w:rsidR="00C85B20">
        <w:t xml:space="preserve"> on forced labor, child labor, and slavery, start with these links:</w:t>
      </w:r>
    </w:p>
    <w:p w:rsidR="00C85B20" w:rsidRDefault="00C85B20">
      <w:hyperlink r:id="rId8" w:history="1">
        <w:r w:rsidRPr="008B5B60">
          <w:rPr>
            <w:rStyle w:val="Hyperlink"/>
          </w:rPr>
          <w:t>https://reliefweb.int/report/democratic-republic-congo/coltan-and-conflict-drc</w:t>
        </w:r>
      </w:hyperlink>
    </w:p>
    <w:p w:rsidR="00C85B20" w:rsidRDefault="00C85B20">
      <w:hyperlink r:id="rId9" w:history="1">
        <w:r w:rsidRPr="008B5B60">
          <w:rPr>
            <w:rStyle w:val="Hyperlink"/>
          </w:rPr>
          <w:t>https://issafrica.org/iss-today/child-miners-the-dark-side-of-the-drcs-coltan-wealth</w:t>
        </w:r>
      </w:hyperlink>
    </w:p>
    <w:p w:rsidR="00C85B20" w:rsidRDefault="00C85B20">
      <w:hyperlink r:id="rId10" w:history="1">
        <w:r w:rsidRPr="008B5B60">
          <w:rPr>
            <w:rStyle w:val="Hyperlink"/>
          </w:rPr>
          <w:t>https://www.reuters.com/article/us-congo-mining-insight/congo-mine-deploys-digital-weapons-in-fight-against-conflict-minerals-idUSKBN1WG2W1/</w:t>
        </w:r>
      </w:hyperlink>
    </w:p>
    <w:p w:rsidR="00C85B20" w:rsidRDefault="00007709">
      <w:r>
        <w:t>(This last one is kind of surreal, given the heavy investment in/creative use of technology to clean up the supply chain, but not, say, to support Congolese people…)</w:t>
      </w:r>
    </w:p>
    <w:p w:rsidR="00007709" w:rsidRDefault="00007709"/>
    <w:p w:rsidR="00C85B20" w:rsidRDefault="00C85B20">
      <w:r>
        <w:t xml:space="preserve">Today, increasingly, the mining of minerals indispensable to EV batteries (not only lithium) are also reproducing “conflict mineral” scenarios in </w:t>
      </w:r>
      <w:r w:rsidR="005962B1">
        <w:t xml:space="preserve">the </w:t>
      </w:r>
      <w:r>
        <w:t>DRC:</w:t>
      </w:r>
    </w:p>
    <w:p w:rsidR="00C85B20" w:rsidRDefault="00C85B20">
      <w:hyperlink r:id="rId11" w:history="1">
        <w:r w:rsidRPr="008B5B60">
          <w:rPr>
            <w:rStyle w:val="Hyperlink"/>
          </w:rPr>
          <w:t>https://apnews.com/article/congo-mining-human-rights-73b3edcc2d485d07281db34dc3dcad2c</w:t>
        </w:r>
      </w:hyperlink>
    </w:p>
    <w:p w:rsidR="00C85B20" w:rsidRDefault="00C85B20"/>
    <w:p w:rsidR="00C85B20" w:rsidRDefault="00C85B20"/>
    <w:p w:rsidR="00C85B20" w:rsidRDefault="00C85B20"/>
    <w:sectPr w:rsidR="00C85B20" w:rsidSect="003D3360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36AF" w:rsidRDefault="008C36AF" w:rsidP="00007709">
      <w:r>
        <w:separator/>
      </w:r>
    </w:p>
  </w:endnote>
  <w:endnote w:type="continuationSeparator" w:id="0">
    <w:p w:rsidR="008C36AF" w:rsidRDefault="008C36AF" w:rsidP="0000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45907382"/>
      <w:docPartObj>
        <w:docPartGallery w:val="Page Numbers (Bottom of Page)"/>
        <w:docPartUnique/>
      </w:docPartObj>
    </w:sdtPr>
    <w:sdtContent>
      <w:p w:rsidR="00007709" w:rsidRDefault="00007709" w:rsidP="008B5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07709" w:rsidRDefault="00007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70517836"/>
      <w:docPartObj>
        <w:docPartGallery w:val="Page Numbers (Bottom of Page)"/>
        <w:docPartUnique/>
      </w:docPartObj>
    </w:sdtPr>
    <w:sdtContent>
      <w:p w:rsidR="00007709" w:rsidRDefault="00007709" w:rsidP="008B5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07709" w:rsidRDefault="00007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36AF" w:rsidRDefault="008C36AF" w:rsidP="00007709">
      <w:r>
        <w:separator/>
      </w:r>
    </w:p>
  </w:footnote>
  <w:footnote w:type="continuationSeparator" w:id="0">
    <w:p w:rsidR="008C36AF" w:rsidRDefault="008C36AF" w:rsidP="0000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C30C5"/>
    <w:multiLevelType w:val="hybridMultilevel"/>
    <w:tmpl w:val="D8B89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143FC"/>
    <w:multiLevelType w:val="hybridMultilevel"/>
    <w:tmpl w:val="D8B89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875954">
    <w:abstractNumId w:val="0"/>
  </w:num>
  <w:num w:numId="2" w16cid:durableId="133680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B3"/>
    <w:rsid w:val="00007709"/>
    <w:rsid w:val="00257A59"/>
    <w:rsid w:val="00355119"/>
    <w:rsid w:val="003D3360"/>
    <w:rsid w:val="004224C3"/>
    <w:rsid w:val="005962B1"/>
    <w:rsid w:val="008C36AF"/>
    <w:rsid w:val="00BB22B6"/>
    <w:rsid w:val="00C85B20"/>
    <w:rsid w:val="00D92DA1"/>
    <w:rsid w:val="00EA6FB3"/>
    <w:rsid w:val="00F7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B5D14"/>
  <w15:chartTrackingRefBased/>
  <w15:docId w15:val="{82F9267A-BE41-2F4C-948C-74484AEB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B3"/>
    <w:rPr>
      <w:rFonts w:asciiTheme="minorHAnsi" w:hAnsiTheme="minorHAnsi"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F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6FB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A6FB3"/>
    <w:rPr>
      <w:rFonts w:asciiTheme="majorHAnsi" w:eastAsiaTheme="minorEastAsia" w:hAnsiTheme="majorHAns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5B2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07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709"/>
    <w:rPr>
      <w:rFonts w:asciiTheme="minorHAnsi" w:hAnsiTheme="minorHAnsi" w:cstheme="minorBidi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0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liefweb.int/report/democratic-republic-congo/coltan-and-conflict-dr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bajorek@hampshir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news.com/article/congo-mining-human-rights-73b3edcc2d485d07281db34dc3dcad2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uters.com/article/us-congo-mining-insight/congo-mine-deploys-digital-weapons-in-fight-against-conflict-minerals-idUSKBN1WG2W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africa.org/iss-today/child-miners-the-dark-side-of-the-drcs-coltan-weal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2024-08-05T16:46:00Z</dcterms:created>
  <dcterms:modified xsi:type="dcterms:W3CDTF">2024-08-05T17:58:00Z</dcterms:modified>
</cp:coreProperties>
</file>